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2C" w:rsidRPr="00C4568F" w:rsidRDefault="00DD662C" w:rsidP="00B80E37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C4568F">
        <w:rPr>
          <w:rFonts w:ascii="Arial Narrow" w:hAnsi="Arial Narrow"/>
          <w:b/>
          <w:sz w:val="22"/>
          <w:szCs w:val="22"/>
          <w:u w:val="single"/>
        </w:rPr>
        <w:t>RESUMEN EJECUTIVO</w:t>
      </w:r>
    </w:p>
    <w:p w:rsidR="00894D2A" w:rsidRPr="00C4568F" w:rsidRDefault="00E863E7" w:rsidP="00894D2A">
      <w:pPr>
        <w:spacing w:line="276" w:lineRule="auto"/>
        <w:ind w:left="474"/>
        <w:jc w:val="center"/>
        <w:rPr>
          <w:rFonts w:ascii="Arial Narrow" w:eastAsia="Copperplate Gothic Light" w:hAnsi="Arial Narrow"/>
          <w:b/>
          <w:bCs/>
          <w:spacing w:val="-1"/>
          <w:sz w:val="22"/>
        </w:rPr>
      </w:pPr>
      <w:r w:rsidRPr="00C4568F">
        <w:rPr>
          <w:rFonts w:ascii="Arial Narrow" w:hAnsi="Arial Narrow"/>
          <w:b/>
          <w:spacing w:val="-1"/>
          <w:sz w:val="22"/>
        </w:rPr>
        <w:t xml:space="preserve">PROGRAMA OPERATIVO ANUAL </w:t>
      </w:r>
      <w:r w:rsidR="000076EE">
        <w:rPr>
          <w:rFonts w:ascii="Arial Narrow" w:hAnsi="Arial Narrow"/>
          <w:b/>
          <w:spacing w:val="-1"/>
          <w:sz w:val="22"/>
        </w:rPr>
        <w:t xml:space="preserve">REFORMULADO </w:t>
      </w:r>
      <w:r w:rsidRPr="00C4568F">
        <w:rPr>
          <w:rFonts w:ascii="Arial Narrow" w:hAnsi="Arial Narrow"/>
          <w:b/>
          <w:spacing w:val="-1"/>
          <w:sz w:val="22"/>
        </w:rPr>
        <w:t>–</w:t>
      </w:r>
      <w:r w:rsidR="000076EE" w:rsidRPr="00C4568F">
        <w:rPr>
          <w:rFonts w:ascii="Arial Narrow" w:hAnsi="Arial Narrow"/>
          <w:b/>
          <w:spacing w:val="-1"/>
          <w:sz w:val="22"/>
        </w:rPr>
        <w:t>GESTIÓN</w:t>
      </w:r>
      <w:r w:rsidRPr="00C4568F">
        <w:rPr>
          <w:rFonts w:ascii="Arial Narrow" w:hAnsi="Arial Narrow"/>
          <w:b/>
          <w:spacing w:val="-1"/>
          <w:sz w:val="22"/>
        </w:rPr>
        <w:t xml:space="preserve"> 202</w:t>
      </w:r>
      <w:r w:rsidR="0021629C">
        <w:rPr>
          <w:rFonts w:ascii="Arial Narrow" w:hAnsi="Arial Narrow"/>
          <w:b/>
          <w:spacing w:val="-1"/>
          <w:sz w:val="22"/>
        </w:rPr>
        <w:t>5</w:t>
      </w:r>
    </w:p>
    <w:p w:rsidR="00894D2A" w:rsidRPr="00C4568F" w:rsidRDefault="00894D2A" w:rsidP="00894D2A">
      <w:pPr>
        <w:spacing w:line="276" w:lineRule="auto"/>
        <w:ind w:left="474"/>
        <w:jc w:val="center"/>
        <w:rPr>
          <w:rFonts w:ascii="Arial Narrow" w:eastAsia="Copperplate Gothic Light" w:hAnsi="Arial Narrow"/>
          <w:sz w:val="22"/>
        </w:rPr>
      </w:pPr>
      <w:r w:rsidRPr="00C4568F">
        <w:rPr>
          <w:rFonts w:ascii="Arial Narrow" w:hAnsi="Arial Narrow"/>
          <w:b/>
          <w:sz w:val="22"/>
        </w:rPr>
        <w:t>D.A.I-</w:t>
      </w:r>
      <w:r w:rsidR="00E863E7" w:rsidRPr="00C4568F">
        <w:rPr>
          <w:rFonts w:ascii="Arial Narrow" w:hAnsi="Arial Narrow"/>
          <w:b/>
          <w:sz w:val="22"/>
        </w:rPr>
        <w:t>INF</w:t>
      </w:r>
      <w:r w:rsidRPr="00C4568F">
        <w:rPr>
          <w:rFonts w:ascii="Arial Narrow" w:hAnsi="Arial Narrow"/>
          <w:b/>
          <w:sz w:val="22"/>
        </w:rPr>
        <w:t>-</w:t>
      </w:r>
      <w:r w:rsidR="00E863E7" w:rsidRPr="00C4568F">
        <w:rPr>
          <w:rFonts w:ascii="Arial Narrow" w:hAnsi="Arial Narrow"/>
          <w:b/>
          <w:sz w:val="22"/>
        </w:rPr>
        <w:t xml:space="preserve">POA </w:t>
      </w:r>
      <w:r w:rsidRPr="00C4568F">
        <w:rPr>
          <w:rFonts w:ascii="Arial Narrow" w:hAnsi="Arial Narrow"/>
          <w:b/>
          <w:sz w:val="22"/>
        </w:rPr>
        <w:t>N° 0</w:t>
      </w:r>
      <w:r w:rsidR="000076EE">
        <w:rPr>
          <w:rFonts w:ascii="Arial Narrow" w:hAnsi="Arial Narrow"/>
          <w:b/>
          <w:sz w:val="22"/>
        </w:rPr>
        <w:t>4</w:t>
      </w:r>
      <w:r w:rsidR="00E863E7" w:rsidRPr="00C4568F">
        <w:rPr>
          <w:rFonts w:ascii="Arial Narrow" w:hAnsi="Arial Narrow"/>
          <w:b/>
          <w:sz w:val="22"/>
        </w:rPr>
        <w:t>/202</w:t>
      </w:r>
      <w:r w:rsidR="0021629C">
        <w:rPr>
          <w:rFonts w:ascii="Arial Narrow" w:hAnsi="Arial Narrow"/>
          <w:b/>
          <w:sz w:val="22"/>
        </w:rPr>
        <w:t>4</w:t>
      </w:r>
      <w:r w:rsidRPr="00C4568F">
        <w:rPr>
          <w:rFonts w:ascii="Arial Narrow" w:hAnsi="Arial Narrow"/>
          <w:sz w:val="22"/>
        </w:rPr>
        <w:t xml:space="preserve">  </w:t>
      </w:r>
    </w:p>
    <w:p w:rsidR="00B80E37" w:rsidRPr="00C4568F" w:rsidRDefault="00B80E37" w:rsidP="00B80E37">
      <w:pPr>
        <w:pStyle w:val="Sangradetextonormal"/>
        <w:spacing w:line="276" w:lineRule="auto"/>
        <w:ind w:firstLine="0"/>
        <w:rPr>
          <w:rFonts w:ascii="Arial Narrow" w:eastAsia="Calibri" w:hAnsi="Arial Narrow"/>
          <w:sz w:val="12"/>
          <w:szCs w:val="22"/>
          <w:lang w:val="es-BO" w:eastAsia="en-US"/>
        </w:rPr>
      </w:pPr>
    </w:p>
    <w:p w:rsidR="003D4C2B" w:rsidRPr="00C4568F" w:rsidRDefault="00E166C5" w:rsidP="00E166C5">
      <w:pPr>
        <w:adjustRightInd w:val="0"/>
        <w:jc w:val="both"/>
        <w:rPr>
          <w:rFonts w:ascii="Arial Narrow" w:eastAsiaTheme="minorHAnsi" w:hAnsi="Arial Narrow"/>
          <w:iCs/>
          <w:color w:val="000000"/>
          <w:sz w:val="22"/>
          <w:szCs w:val="22"/>
          <w:lang w:val="es-BO" w:eastAsia="en-US"/>
        </w:rPr>
      </w:pPr>
      <w:r w:rsidRPr="00C4568F">
        <w:rPr>
          <w:rFonts w:ascii="Arial Narrow" w:eastAsiaTheme="minorHAnsi" w:hAnsi="Arial Narrow"/>
          <w:iCs/>
          <w:color w:val="000000"/>
          <w:sz w:val="22"/>
          <w:szCs w:val="22"/>
          <w:lang w:val="es-BO" w:eastAsia="en-US"/>
        </w:rPr>
        <w:t>En cumplimiento</w:t>
      </w:r>
      <w:r w:rsidR="00E863E7" w:rsidRPr="00C4568F">
        <w:rPr>
          <w:rFonts w:ascii="Arial Narrow" w:hAnsi="Arial Narrow"/>
          <w:sz w:val="22"/>
          <w:szCs w:val="22"/>
        </w:rPr>
        <w:t xml:space="preserve"> a </w:t>
      </w:r>
      <w:r w:rsidR="00E863E7" w:rsidRPr="00C4568F">
        <w:rPr>
          <w:rFonts w:ascii="Arial Narrow" w:hAnsi="Arial Narrow"/>
          <w:sz w:val="22"/>
          <w:szCs w:val="22"/>
          <w:lang w:val="es-MX"/>
        </w:rPr>
        <w:t>Resolución N° CGE/094/2012 mediante la cual se aprobó las Normas para el Ejercicio de la Auditoria Interna (Norma 304), y Resolución N° CGE/152/2017</w:t>
      </w:r>
      <w:r w:rsidR="00E863E7" w:rsidRPr="00C4568F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E863E7" w:rsidRPr="00C4568F">
        <w:rPr>
          <w:rFonts w:ascii="Arial Narrow" w:hAnsi="Arial Narrow"/>
          <w:sz w:val="22"/>
          <w:szCs w:val="22"/>
          <w:lang w:val="es-MX"/>
        </w:rPr>
        <w:t xml:space="preserve">de los </w:t>
      </w:r>
      <w:r w:rsidR="00E863E7" w:rsidRPr="00C4568F">
        <w:rPr>
          <w:rFonts w:ascii="Arial Narrow" w:hAnsi="Arial Narrow"/>
          <w:sz w:val="22"/>
          <w:szCs w:val="22"/>
        </w:rPr>
        <w:t>Procedimiento para la Formulación y Control de la Planificación Estratégica y la Programación de Operaciones Anual de la</w:t>
      </w:r>
      <w:r w:rsidR="000076EE">
        <w:rPr>
          <w:rFonts w:ascii="Arial Narrow" w:hAnsi="Arial Narrow"/>
          <w:sz w:val="22"/>
          <w:szCs w:val="22"/>
        </w:rPr>
        <w:t>s</w:t>
      </w:r>
      <w:r w:rsidR="00E863E7" w:rsidRPr="00C4568F">
        <w:rPr>
          <w:rFonts w:ascii="Arial Narrow" w:hAnsi="Arial Narrow"/>
          <w:sz w:val="22"/>
          <w:szCs w:val="22"/>
        </w:rPr>
        <w:t xml:space="preserve"> Unidades de Auditoría Interna (punto 12)</w:t>
      </w:r>
      <w:r w:rsidRPr="00C4568F">
        <w:rPr>
          <w:rFonts w:ascii="Arial Narrow" w:eastAsiaTheme="minorHAnsi" w:hAnsi="Arial Narrow"/>
          <w:iCs/>
          <w:color w:val="000000"/>
          <w:sz w:val="22"/>
          <w:szCs w:val="22"/>
          <w:lang w:val="es-BO" w:eastAsia="en-US"/>
        </w:rPr>
        <w:t xml:space="preserve">. </w:t>
      </w:r>
    </w:p>
    <w:p w:rsidR="00E166C5" w:rsidRPr="000076EE" w:rsidRDefault="00E166C5" w:rsidP="00E166C5">
      <w:pPr>
        <w:adjustRightInd w:val="0"/>
        <w:jc w:val="both"/>
        <w:rPr>
          <w:rFonts w:ascii="Arial Narrow" w:eastAsiaTheme="minorHAnsi" w:hAnsi="Arial Narrow"/>
          <w:iCs/>
          <w:color w:val="000000"/>
          <w:sz w:val="20"/>
          <w:szCs w:val="22"/>
          <w:highlight w:val="yellow"/>
          <w:lang w:val="es-BO" w:eastAsia="en-US"/>
        </w:rPr>
      </w:pPr>
    </w:p>
    <w:p w:rsidR="0021629C" w:rsidRPr="00E656FD" w:rsidRDefault="00E863E7" w:rsidP="0021629C">
      <w:pPr>
        <w:jc w:val="both"/>
        <w:rPr>
          <w:rFonts w:ascii="Arial Narrow" w:hAnsi="Arial Narrow"/>
          <w:sz w:val="22"/>
          <w:szCs w:val="22"/>
          <w:lang w:val="es-BO"/>
        </w:rPr>
      </w:pPr>
      <w:r w:rsidRPr="00C4568F">
        <w:rPr>
          <w:rFonts w:ascii="Arial Narrow" w:hAnsi="Arial Narrow"/>
          <w:sz w:val="22"/>
          <w:szCs w:val="22"/>
          <w:lang w:val="es-MX"/>
        </w:rPr>
        <w:t xml:space="preserve">El objetivo </w:t>
      </w:r>
      <w:r w:rsidR="0021629C">
        <w:rPr>
          <w:rFonts w:ascii="Arial Narrow" w:hAnsi="Arial Narrow"/>
          <w:sz w:val="22"/>
          <w:szCs w:val="22"/>
          <w:lang w:val="es-MX"/>
        </w:rPr>
        <w:t>d</w:t>
      </w:r>
      <w:r w:rsidR="0021629C" w:rsidRPr="00E656FD">
        <w:rPr>
          <w:rFonts w:ascii="Arial Narrow" w:hAnsi="Arial Narrow"/>
          <w:sz w:val="22"/>
          <w:szCs w:val="22"/>
          <w:lang w:val="es-BO"/>
        </w:rPr>
        <w:t>e acuerdo con las actividades que el artículo 15 de la Ley No. 1178 le asigna a la UAI y considerando las acciones estratégicas determinadas, se establecen las siguientes acciones de corto plazo y considerando el reducido personal con el que se cuenta, se detalla:</w:t>
      </w:r>
    </w:p>
    <w:p w:rsidR="000076EE" w:rsidRPr="00F62B28" w:rsidRDefault="000076EE" w:rsidP="000076EE">
      <w:pPr>
        <w:jc w:val="both"/>
        <w:rPr>
          <w:rFonts w:ascii="Arial Narrow" w:hAnsi="Arial Narrow"/>
          <w:sz w:val="12"/>
          <w:szCs w:val="22"/>
          <w:lang w:val="es-BO"/>
        </w:rPr>
      </w:pPr>
    </w:p>
    <w:p w:rsidR="000076EE" w:rsidRPr="00E50DC3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lang w:val="es-BO"/>
        </w:rPr>
      </w:pPr>
      <w:r w:rsidRPr="00E50DC3">
        <w:rPr>
          <w:rFonts w:ascii="Arial Narrow" w:hAnsi="Arial Narrow"/>
          <w:color w:val="000000"/>
          <w:lang w:val="es-BO" w:eastAsia="es-BO"/>
        </w:rPr>
        <w:t>Dos informes de Auditoría de Confiabilidad de los Registros y Estados Financieros gestión 2024.</w:t>
      </w:r>
    </w:p>
    <w:p w:rsidR="000076EE" w:rsidRPr="00F31A6E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sz w:val="12"/>
          <w:lang w:val="es-BO" w:eastAsia="es-BO"/>
        </w:rPr>
      </w:pPr>
      <w:r w:rsidRPr="00F31A6E">
        <w:rPr>
          <w:rFonts w:ascii="Arial Narrow" w:hAnsi="Arial Narrow"/>
          <w:b/>
          <w:color w:val="000000"/>
          <w:lang w:val="es-BO" w:eastAsia="es-BO"/>
        </w:rPr>
        <w:t>Actividades previas</w:t>
      </w:r>
      <w:r>
        <w:rPr>
          <w:rFonts w:ascii="Arial Narrow" w:hAnsi="Arial Narrow"/>
          <w:b/>
          <w:color w:val="000000"/>
          <w:lang w:val="es-BO" w:eastAsia="es-BO"/>
        </w:rPr>
        <w:t xml:space="preserve"> </w:t>
      </w:r>
      <w:r w:rsidRPr="00F31A6E">
        <w:rPr>
          <w:rFonts w:ascii="Arial Narrow" w:hAnsi="Arial Narrow"/>
          <w:color w:val="000000"/>
          <w:lang w:val="es-BO" w:eastAsia="es-BO"/>
        </w:rPr>
        <w:t>de la</w:t>
      </w:r>
      <w:r>
        <w:rPr>
          <w:rFonts w:ascii="Arial Narrow" w:hAnsi="Arial Narrow"/>
          <w:b/>
          <w:color w:val="000000"/>
          <w:lang w:val="es-BO" w:eastAsia="es-BO"/>
        </w:rPr>
        <w:t xml:space="preserve"> </w:t>
      </w:r>
      <w:r w:rsidRPr="00F31A6E">
        <w:rPr>
          <w:rFonts w:ascii="Arial Narrow" w:hAnsi="Arial Narrow"/>
          <w:lang w:val="es-BO"/>
        </w:rPr>
        <w:t>Auditoria de</w:t>
      </w:r>
      <w:r w:rsidRPr="00F31A6E">
        <w:rPr>
          <w:rFonts w:ascii="Arial Narrow" w:hAnsi="Arial Narrow"/>
          <w:color w:val="000000"/>
          <w:lang w:val="es-BO" w:eastAsia="es-BO"/>
        </w:rPr>
        <w:t xml:space="preserve"> Confiabilidad de los Registros y Estados Financieros gestión 2025, Dentro del </w:t>
      </w:r>
      <w:r w:rsidRPr="00F31A6E">
        <w:rPr>
          <w:rFonts w:ascii="Arial Narrow" w:hAnsi="Arial Narrow"/>
          <w:b/>
          <w:color w:val="000000"/>
          <w:lang w:val="es-BO" w:eastAsia="es-BO"/>
        </w:rPr>
        <w:t>primer semestre</w:t>
      </w:r>
      <w:r w:rsidRPr="00F31A6E">
        <w:rPr>
          <w:rFonts w:ascii="Arial Narrow" w:hAnsi="Arial Narrow"/>
          <w:color w:val="000000"/>
          <w:lang w:val="es-BO" w:eastAsia="es-BO"/>
        </w:rPr>
        <w:t xml:space="preserve"> de la gestión 2025 se elabora la etapa de Planificación </w:t>
      </w:r>
    </w:p>
    <w:p w:rsidR="000076EE" w:rsidRPr="00E50DC3" w:rsidRDefault="000076EE" w:rsidP="000076EE">
      <w:pPr>
        <w:pStyle w:val="Prrafodelista"/>
        <w:numPr>
          <w:ilvl w:val="1"/>
          <w:numId w:val="12"/>
        </w:numPr>
        <w:spacing w:after="0" w:line="240" w:lineRule="auto"/>
        <w:ind w:left="993" w:hanging="284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50DC3">
        <w:rPr>
          <w:rFonts w:ascii="Arial Narrow" w:hAnsi="Arial Narrow"/>
          <w:color w:val="000000"/>
          <w:lang w:val="es-BO" w:eastAsia="es-BO"/>
        </w:rPr>
        <w:t>Planificación General de la A</w:t>
      </w:r>
      <w:bookmarkStart w:id="0" w:name="_GoBack"/>
      <w:bookmarkEnd w:id="0"/>
      <w:r w:rsidRPr="00E50DC3">
        <w:rPr>
          <w:rFonts w:ascii="Arial Narrow" w:hAnsi="Arial Narrow"/>
          <w:color w:val="000000"/>
          <w:lang w:val="es-BO" w:eastAsia="es-BO"/>
        </w:rPr>
        <w:t>uditoría de Confiabilidad de los Registros y Estados Financieros gestión 2025.</w:t>
      </w:r>
    </w:p>
    <w:p w:rsidR="000076EE" w:rsidRPr="00E50DC3" w:rsidRDefault="000076EE" w:rsidP="000076EE">
      <w:pPr>
        <w:pStyle w:val="Prrafodelista"/>
        <w:numPr>
          <w:ilvl w:val="1"/>
          <w:numId w:val="12"/>
        </w:numPr>
        <w:spacing w:after="0" w:line="240" w:lineRule="auto"/>
        <w:ind w:left="993" w:hanging="284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50DC3">
        <w:rPr>
          <w:rFonts w:ascii="Arial Narrow" w:hAnsi="Arial Narrow"/>
          <w:color w:val="000000"/>
          <w:lang w:val="es-BO" w:eastAsia="es-BO"/>
        </w:rPr>
        <w:t>Planificación Especifico de la Auditoría de Confiabilidad de los Registros y Estados Financieros gestión 2025.</w:t>
      </w:r>
    </w:p>
    <w:p w:rsidR="000076EE" w:rsidRPr="00EB1C04" w:rsidRDefault="000076EE" w:rsidP="000076EE">
      <w:pPr>
        <w:pStyle w:val="Prrafodelista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B1C04">
        <w:rPr>
          <w:rFonts w:ascii="Arial Narrow" w:hAnsi="Arial Narrow"/>
          <w:b/>
          <w:color w:val="000000"/>
          <w:lang w:val="es-BO" w:eastAsia="es-BO"/>
        </w:rPr>
        <w:t xml:space="preserve">Dentro la Etapa de Actividades Previas </w:t>
      </w:r>
      <w:r w:rsidRPr="00EB1C04">
        <w:rPr>
          <w:rFonts w:ascii="Arial Narrow" w:hAnsi="Arial Narrow"/>
          <w:color w:val="000000"/>
          <w:lang w:val="es-BO" w:eastAsia="es-BO"/>
        </w:rPr>
        <w:t xml:space="preserve">la ejecución de la Auditoria los </w:t>
      </w:r>
      <w:r w:rsidRPr="00EB1C04">
        <w:rPr>
          <w:rFonts w:ascii="Arial Narrow" w:hAnsi="Arial Narrow"/>
          <w:b/>
          <w:color w:val="000000"/>
          <w:lang w:val="es-BO" w:eastAsia="es-BO"/>
        </w:rPr>
        <w:t>últimos dos meses</w:t>
      </w:r>
      <w:r w:rsidRPr="00EB1C04">
        <w:rPr>
          <w:rFonts w:ascii="Arial Narrow" w:hAnsi="Arial Narrow"/>
          <w:color w:val="000000"/>
          <w:lang w:val="es-BO" w:eastAsia="es-BO"/>
        </w:rPr>
        <w:t xml:space="preserve"> como a continuación se detalla</w:t>
      </w:r>
    </w:p>
    <w:p w:rsidR="000076EE" w:rsidRPr="00E50DC3" w:rsidRDefault="000076EE" w:rsidP="000076EE">
      <w:pPr>
        <w:pStyle w:val="Prrafodelista"/>
        <w:numPr>
          <w:ilvl w:val="1"/>
          <w:numId w:val="12"/>
        </w:numPr>
        <w:spacing w:after="0" w:line="240" w:lineRule="auto"/>
        <w:ind w:left="993" w:hanging="284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B1C04">
        <w:rPr>
          <w:rFonts w:ascii="Arial Narrow" w:hAnsi="Arial Narrow"/>
          <w:color w:val="000000"/>
          <w:lang w:val="es-BO" w:eastAsia="es-BO"/>
        </w:rPr>
        <w:t>Ejecución de la Auditoria</w:t>
      </w:r>
      <w:r w:rsidRPr="00E50DC3">
        <w:rPr>
          <w:rFonts w:ascii="Arial Narrow" w:hAnsi="Arial Narrow"/>
          <w:color w:val="000000"/>
          <w:lang w:val="es-BO" w:eastAsia="es-BO"/>
        </w:rPr>
        <w:t xml:space="preserve"> de Confiabilidad de Registros gestión 2025. </w:t>
      </w:r>
    </w:p>
    <w:p w:rsidR="000076EE" w:rsidRPr="00E656FD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656FD">
        <w:rPr>
          <w:rFonts w:ascii="Arial Narrow" w:hAnsi="Arial Narrow"/>
          <w:color w:val="000000"/>
          <w:lang w:val="es-BO" w:eastAsia="es-BO"/>
        </w:rPr>
        <w:t>Un Informe de Auditoria Operacional sobre la utilización de los Recursos del Impuesto Directo a los Hidrocarburos IDH gestión 2024</w:t>
      </w:r>
      <w:r>
        <w:rPr>
          <w:rFonts w:ascii="Arial Narrow" w:hAnsi="Arial Narrow"/>
          <w:color w:val="000000"/>
          <w:lang w:val="es-BO" w:eastAsia="es-BO"/>
        </w:rPr>
        <w:t>.</w:t>
      </w:r>
    </w:p>
    <w:p w:rsidR="000076EE" w:rsidRPr="00E656FD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656FD">
        <w:rPr>
          <w:rFonts w:ascii="Arial Narrow" w:hAnsi="Arial Narrow"/>
          <w:color w:val="000000"/>
          <w:lang w:val="es-BO" w:eastAsia="es-BO"/>
        </w:rPr>
        <w:t>Un informe de Auditoría de Cumplimiento del procedimiento específico para el control y conciliación de los saldos liquidados en las planillas salariales y los registros individuales de cada servidor público de la Entidad Pública, por el período comprendido entre el 01 de enero al 31 de diciembre de 2024</w:t>
      </w:r>
      <w:r>
        <w:rPr>
          <w:rFonts w:ascii="Arial Narrow" w:hAnsi="Arial Narrow"/>
          <w:color w:val="000000"/>
          <w:lang w:val="es-BO" w:eastAsia="es-BO"/>
        </w:rPr>
        <w:t>.</w:t>
      </w:r>
    </w:p>
    <w:p w:rsidR="000076EE" w:rsidRPr="00FF7C08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>
        <w:rPr>
          <w:rFonts w:ascii="Arial Narrow" w:hAnsi="Arial Narrow"/>
          <w:color w:val="000000"/>
          <w:lang w:val="es-BO" w:eastAsia="es-BO"/>
        </w:rPr>
        <w:t xml:space="preserve">Un informe de </w:t>
      </w:r>
      <w:r w:rsidRPr="00FF7C08">
        <w:rPr>
          <w:rFonts w:ascii="Arial Narrow" w:hAnsi="Arial Narrow"/>
          <w:color w:val="000000"/>
          <w:lang w:val="es-BO" w:eastAsia="es-BO"/>
        </w:rPr>
        <w:t>Auditoria de Cumplimiento al Sistema Único de Salud (SUS) gestión 2024</w:t>
      </w:r>
      <w:r>
        <w:rPr>
          <w:rFonts w:ascii="Arial Narrow" w:hAnsi="Arial Narrow"/>
          <w:color w:val="000000"/>
          <w:lang w:val="es-BO" w:eastAsia="es-BO"/>
        </w:rPr>
        <w:t>.</w:t>
      </w:r>
      <w:r w:rsidRPr="00FF7C08">
        <w:rPr>
          <w:rFonts w:ascii="Arial Narrow" w:hAnsi="Arial Narrow"/>
          <w:color w:val="000000"/>
          <w:lang w:val="es-BO" w:eastAsia="es-BO"/>
        </w:rPr>
        <w:t xml:space="preserve"> </w:t>
      </w:r>
    </w:p>
    <w:p w:rsidR="000076EE" w:rsidRPr="00E656FD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656FD">
        <w:rPr>
          <w:rFonts w:ascii="Arial Narrow" w:hAnsi="Arial Narrow"/>
          <w:color w:val="000000"/>
          <w:lang w:val="es-BO" w:eastAsia="es-BO"/>
        </w:rPr>
        <w:t>Relevamiento de Información sobre el Comité de Seguimiento de Control Interno (CSCI) de la Entidad Pública al 31 de marzo de 2025.</w:t>
      </w:r>
    </w:p>
    <w:p w:rsidR="000076EE" w:rsidRPr="00F62B28" w:rsidRDefault="000076EE" w:rsidP="000076EE">
      <w:pPr>
        <w:jc w:val="both"/>
        <w:rPr>
          <w:rFonts w:ascii="Arial Narrow" w:hAnsi="Arial Narrow"/>
          <w:color w:val="000000"/>
          <w:sz w:val="12"/>
          <w:szCs w:val="22"/>
          <w:lang w:val="es-BO" w:eastAsia="es-BO"/>
        </w:rPr>
      </w:pPr>
    </w:p>
    <w:p w:rsidR="000076EE" w:rsidRPr="00E656FD" w:rsidRDefault="000076EE" w:rsidP="000076EE">
      <w:pPr>
        <w:jc w:val="both"/>
        <w:rPr>
          <w:rFonts w:ascii="Arial Narrow" w:hAnsi="Arial Narrow"/>
          <w:color w:val="000000"/>
          <w:sz w:val="22"/>
          <w:szCs w:val="22"/>
          <w:lang w:val="es-BO" w:eastAsia="es-BO"/>
        </w:rPr>
      </w:pPr>
      <w:r w:rsidRPr="00E656FD">
        <w:rPr>
          <w:rFonts w:ascii="Arial Narrow" w:hAnsi="Arial Narrow"/>
          <w:color w:val="000000"/>
          <w:sz w:val="22"/>
          <w:szCs w:val="22"/>
          <w:lang w:val="es-BO" w:eastAsia="es-BO"/>
        </w:rPr>
        <w:t>Cinco Seguimientos al cumplimiento a las recomendaciones de los Informes de Auditoria:</w:t>
      </w:r>
    </w:p>
    <w:p w:rsidR="000076EE" w:rsidRPr="00F62B28" w:rsidRDefault="000076EE" w:rsidP="000076EE">
      <w:pPr>
        <w:jc w:val="both"/>
        <w:rPr>
          <w:rFonts w:ascii="Arial Narrow" w:hAnsi="Arial Narrow"/>
          <w:color w:val="000000"/>
          <w:sz w:val="14"/>
          <w:szCs w:val="22"/>
          <w:lang w:val="es-BO" w:eastAsia="es-BO"/>
        </w:rPr>
      </w:pPr>
    </w:p>
    <w:p w:rsidR="000076EE" w:rsidRPr="00EB1C04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656FD">
        <w:rPr>
          <w:rFonts w:ascii="Arial Narrow" w:hAnsi="Arial Narrow"/>
          <w:color w:val="000000"/>
          <w:lang w:val="es-BO" w:eastAsia="es-BO"/>
        </w:rPr>
        <w:t xml:space="preserve">Un Informe de Seguimiento a las 74 Recomendaciones de la Auditoría de Confiabilidad de los </w:t>
      </w:r>
      <w:r w:rsidRPr="00EB1C04">
        <w:rPr>
          <w:rFonts w:ascii="Arial Narrow" w:hAnsi="Arial Narrow"/>
          <w:color w:val="000000"/>
          <w:lang w:val="es-BO" w:eastAsia="es-BO"/>
        </w:rPr>
        <w:t>Registros gestión 2023, del Informe INF.DAI Nº 01/2024.</w:t>
      </w:r>
    </w:p>
    <w:p w:rsidR="000076EE" w:rsidRPr="00E656FD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B1C04">
        <w:rPr>
          <w:rFonts w:ascii="Arial Narrow" w:hAnsi="Arial Narrow"/>
          <w:color w:val="000000"/>
          <w:lang w:val="es-BO" w:eastAsia="es-BO"/>
        </w:rPr>
        <w:t>Un Informe de Seguimiento a las 53 Recomendaciones de la Auditoría de Confiabilidad de los Estados</w:t>
      </w:r>
      <w:r w:rsidRPr="00E656FD">
        <w:rPr>
          <w:rFonts w:ascii="Arial Narrow" w:hAnsi="Arial Narrow"/>
          <w:color w:val="000000"/>
          <w:lang w:val="es-BO" w:eastAsia="es-BO"/>
        </w:rPr>
        <w:t xml:space="preserve"> Financieros gestión 2023, del Informe INF.DAI Nº 02/2024.</w:t>
      </w:r>
    </w:p>
    <w:p w:rsidR="000076EE" w:rsidRPr="00E656FD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lang w:val="es-BO" w:eastAsia="es-BO"/>
        </w:rPr>
      </w:pPr>
      <w:r w:rsidRPr="00E656FD">
        <w:rPr>
          <w:rFonts w:ascii="Arial Narrow" w:hAnsi="Arial Narrow"/>
          <w:color w:val="000000"/>
          <w:lang w:val="es-BO" w:eastAsia="es-BO"/>
        </w:rPr>
        <w:t>Un Informe de Seguimiento a las 5 Recomendaciones</w:t>
      </w:r>
      <w:r>
        <w:rPr>
          <w:rFonts w:ascii="Arial Narrow" w:hAnsi="Arial Narrow"/>
          <w:color w:val="000000"/>
          <w:lang w:val="es-BO" w:eastAsia="es-BO"/>
        </w:rPr>
        <w:t xml:space="preserve"> </w:t>
      </w:r>
      <w:r w:rsidRPr="00E656FD">
        <w:rPr>
          <w:rFonts w:ascii="Arial Narrow" w:hAnsi="Arial Narrow"/>
          <w:color w:val="000000"/>
          <w:lang w:val="es-BO" w:eastAsia="es-BO"/>
        </w:rPr>
        <w:t>de la Auditoria Operativa sobre recursos provenientes del IDH gestión 2023, del Informe INF.DAI Nº 03/2024.</w:t>
      </w:r>
    </w:p>
    <w:p w:rsidR="000076EE" w:rsidRPr="00E656FD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 Narrow" w:hAnsi="Arial Narrow"/>
          <w:color w:val="000000"/>
          <w:szCs w:val="14"/>
          <w:lang w:val="es-BO" w:eastAsia="es-BO"/>
        </w:rPr>
      </w:pPr>
      <w:r w:rsidRPr="00E656FD">
        <w:rPr>
          <w:rFonts w:ascii="Arial Narrow" w:hAnsi="Arial Narrow"/>
          <w:color w:val="000000"/>
          <w:lang w:val="es-BO" w:eastAsia="es-BO"/>
        </w:rPr>
        <w:t xml:space="preserve">Un Informe </w:t>
      </w:r>
      <w:r w:rsidRPr="00E656FD">
        <w:rPr>
          <w:rFonts w:ascii="Arial Narrow" w:hAnsi="Arial Narrow"/>
          <w:color w:val="000000"/>
          <w:szCs w:val="14"/>
          <w:lang w:val="es-BO" w:eastAsia="es-BO"/>
        </w:rPr>
        <w:t xml:space="preserve">Seguimiento a las 8 Recomendaciones del Informe de Control Interno emergente del Relevamiento de Información Específica sobre el Proceso de Contratación de Alimentación Complementaria Escolar gestión 2023, </w:t>
      </w:r>
      <w:r w:rsidRPr="00E656FD">
        <w:rPr>
          <w:rFonts w:ascii="Arial Narrow" w:hAnsi="Arial Narrow"/>
          <w:color w:val="000000"/>
          <w:lang w:val="es-BO" w:eastAsia="es-BO"/>
        </w:rPr>
        <w:t>del Informe INF.DAI Nº 06/2023</w:t>
      </w:r>
      <w:r w:rsidRPr="00E656FD">
        <w:rPr>
          <w:rFonts w:ascii="Arial Narrow" w:hAnsi="Arial Narrow"/>
          <w:color w:val="000000"/>
          <w:szCs w:val="14"/>
          <w:lang w:val="es-BO" w:eastAsia="es-BO"/>
        </w:rPr>
        <w:t>.</w:t>
      </w:r>
    </w:p>
    <w:p w:rsidR="000076EE" w:rsidRPr="00E77B80" w:rsidRDefault="000076EE" w:rsidP="000076EE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hAnsi="Arial Narrow"/>
          <w:color w:val="000000"/>
          <w:sz w:val="16"/>
          <w:lang w:val="es-BO" w:eastAsia="es-BO"/>
        </w:rPr>
      </w:pPr>
      <w:r w:rsidRPr="00E77B80">
        <w:rPr>
          <w:rFonts w:ascii="Arial Narrow" w:hAnsi="Arial Narrow"/>
          <w:color w:val="000000"/>
          <w:lang w:val="es-BO" w:eastAsia="es-BO"/>
        </w:rPr>
        <w:t>Un</w:t>
      </w:r>
      <w:r w:rsidRPr="000928E3">
        <w:rPr>
          <w:rFonts w:ascii="Arial Narrow" w:hAnsi="Arial Narrow"/>
          <w:color w:val="000000"/>
          <w:lang w:val="es-BO" w:eastAsia="es-BO"/>
        </w:rPr>
        <w:t xml:space="preserve"> Informe </w:t>
      </w:r>
      <w:r w:rsidRPr="000928E3">
        <w:rPr>
          <w:rFonts w:ascii="Arial Narrow" w:hAnsi="Arial Narrow"/>
          <w:color w:val="000000"/>
          <w:szCs w:val="14"/>
          <w:lang w:val="es-BO" w:eastAsia="es-BO"/>
        </w:rPr>
        <w:t xml:space="preserve">Seguimiento a las 14 Recomendaciones del Informe de Control Interno de la Auditoria de Cumplimiento al Combustible gestiones 2017,2018, 2019 y 2020 del informe INF.DAI </w:t>
      </w:r>
      <w:r w:rsidRPr="00E77B80">
        <w:rPr>
          <w:rFonts w:ascii="Arial Narrow" w:hAnsi="Arial Narrow"/>
          <w:color w:val="000000"/>
          <w:szCs w:val="14"/>
          <w:lang w:val="es-BO" w:eastAsia="es-BO"/>
        </w:rPr>
        <w:t>Nº 15/2022.</w:t>
      </w:r>
    </w:p>
    <w:p w:rsidR="000076EE" w:rsidRPr="00E656FD" w:rsidRDefault="000076EE" w:rsidP="000076EE">
      <w:pPr>
        <w:pStyle w:val="Lista"/>
        <w:numPr>
          <w:ilvl w:val="0"/>
          <w:numId w:val="6"/>
        </w:numPr>
        <w:tabs>
          <w:tab w:val="clear" w:pos="720"/>
          <w:tab w:val="num" w:pos="426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val="es-BO"/>
        </w:rPr>
      </w:pPr>
      <w:r w:rsidRPr="00E77B80">
        <w:rPr>
          <w:rFonts w:ascii="Arial Narrow" w:hAnsi="Arial Narrow"/>
          <w:sz w:val="22"/>
          <w:szCs w:val="22"/>
          <w:lang w:val="es-BO"/>
        </w:rPr>
        <w:t>Auditorías</w:t>
      </w:r>
      <w:r w:rsidRPr="00E656FD">
        <w:rPr>
          <w:rFonts w:ascii="Arial Narrow" w:hAnsi="Arial Narrow"/>
          <w:sz w:val="22"/>
          <w:szCs w:val="22"/>
          <w:lang w:val="es-BO"/>
        </w:rPr>
        <w:t xml:space="preserve"> no programadas a requerimiento de la Máxima Autoridad Ejecutiva y CGE.</w:t>
      </w:r>
    </w:p>
    <w:p w:rsidR="000076EE" w:rsidRPr="00F62B28" w:rsidRDefault="000076EE" w:rsidP="000076EE">
      <w:pPr>
        <w:pStyle w:val="Lista"/>
        <w:ind w:left="0" w:firstLine="0"/>
        <w:jc w:val="both"/>
        <w:rPr>
          <w:rFonts w:ascii="Arial Narrow" w:hAnsi="Arial Narrow"/>
          <w:sz w:val="14"/>
          <w:szCs w:val="22"/>
          <w:lang w:val="es-BO"/>
        </w:rPr>
      </w:pPr>
    </w:p>
    <w:p w:rsidR="00E863E7" w:rsidRPr="000076EE" w:rsidRDefault="00E863E7" w:rsidP="00E863E7">
      <w:pPr>
        <w:pStyle w:val="Sangradetextonormal"/>
        <w:spacing w:line="276" w:lineRule="auto"/>
        <w:rPr>
          <w:rFonts w:ascii="Arial Narrow" w:hAnsi="Arial Narrow"/>
          <w:color w:val="000000"/>
          <w:sz w:val="22"/>
          <w:szCs w:val="22"/>
          <w:lang w:val="es-BO" w:eastAsia="es-BO"/>
        </w:rPr>
      </w:pPr>
      <w:r w:rsidRPr="000076EE">
        <w:rPr>
          <w:rFonts w:ascii="Arial Narrow" w:hAnsi="Arial Narrow"/>
          <w:color w:val="000000"/>
          <w:sz w:val="22"/>
          <w:szCs w:val="22"/>
          <w:lang w:val="es-BO" w:eastAsia="es-BO"/>
        </w:rPr>
        <w:t xml:space="preserve">El objeto constituirá la documentación a ser analizada para cada uno de los objetivos trazados por la </w:t>
      </w:r>
      <w:r w:rsidR="0021629C" w:rsidRPr="000076EE">
        <w:rPr>
          <w:rFonts w:ascii="Arial Narrow" w:hAnsi="Arial Narrow"/>
          <w:color w:val="000000"/>
          <w:sz w:val="22"/>
          <w:szCs w:val="22"/>
          <w:lang w:val="es-BO" w:eastAsia="es-BO"/>
        </w:rPr>
        <w:t xml:space="preserve">Dirección </w:t>
      </w:r>
      <w:r w:rsidRPr="000076EE">
        <w:rPr>
          <w:rFonts w:ascii="Arial Narrow" w:hAnsi="Arial Narrow"/>
          <w:color w:val="000000"/>
          <w:sz w:val="22"/>
          <w:szCs w:val="22"/>
          <w:lang w:val="es-BO" w:eastAsia="es-BO"/>
        </w:rPr>
        <w:t>de Auditoria Interna durante la gestión 20</w:t>
      </w:r>
      <w:r w:rsidR="0021629C" w:rsidRPr="000076EE">
        <w:rPr>
          <w:rFonts w:ascii="Arial Narrow" w:hAnsi="Arial Narrow"/>
          <w:color w:val="000000"/>
          <w:sz w:val="22"/>
          <w:szCs w:val="22"/>
          <w:lang w:val="es-BO" w:eastAsia="es-BO"/>
        </w:rPr>
        <w:t>25</w:t>
      </w:r>
      <w:r w:rsidRPr="000076EE">
        <w:rPr>
          <w:rFonts w:ascii="Arial Narrow" w:hAnsi="Arial Narrow"/>
          <w:color w:val="000000"/>
          <w:sz w:val="22"/>
          <w:szCs w:val="22"/>
          <w:lang w:val="es-BO" w:eastAsia="es-BO"/>
        </w:rPr>
        <w:t>, de acuerdo al siguiente cronograma:</w:t>
      </w:r>
    </w:p>
    <w:p w:rsidR="0021629C" w:rsidRDefault="0021629C" w:rsidP="00AC0C82">
      <w:pPr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val="es-BO" w:eastAsia="en-US"/>
        </w:rPr>
      </w:pPr>
    </w:p>
    <w:p w:rsidR="000076EE" w:rsidRDefault="000076EE" w:rsidP="00AC0C82">
      <w:pPr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val="es-BO" w:eastAsia="en-US"/>
        </w:rPr>
      </w:pPr>
    </w:p>
    <w:p w:rsidR="000076EE" w:rsidRDefault="000076EE" w:rsidP="00AC0C82">
      <w:pPr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val="es-BO" w:eastAsia="en-US"/>
        </w:rPr>
      </w:pPr>
      <w:r>
        <w:rPr>
          <w:noProof/>
          <w:lang w:val="es-BO" w:eastAsia="es-BO"/>
        </w:rPr>
        <w:lastRenderedPageBreak/>
        <w:drawing>
          <wp:inline distT="0" distB="0" distL="0" distR="0" wp14:anchorId="58C04F36" wp14:editId="628108E3">
            <wp:extent cx="5953125" cy="4067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35" t="15691" r="17346" b="7664"/>
                    <a:stretch/>
                  </pic:blipFill>
                  <pic:spPr bwMode="auto">
                    <a:xfrm>
                      <a:off x="0" y="0"/>
                      <a:ext cx="5962075" cy="407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281" w:rsidRDefault="00E77281" w:rsidP="00AC0C82">
      <w:pPr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val="es-BO" w:eastAsia="en-US"/>
        </w:rPr>
      </w:pPr>
    </w:p>
    <w:p w:rsidR="00F42F7E" w:rsidRPr="00264E06" w:rsidRDefault="00DD662C" w:rsidP="00B80E37">
      <w:pPr>
        <w:spacing w:line="276" w:lineRule="auto"/>
        <w:jc w:val="both"/>
        <w:rPr>
          <w:sz w:val="22"/>
          <w:szCs w:val="22"/>
        </w:rPr>
      </w:pPr>
      <w:r w:rsidRPr="00264E06">
        <w:rPr>
          <w:sz w:val="22"/>
          <w:szCs w:val="22"/>
        </w:rPr>
        <w:t>Es cuanto puedo informar para los fines consiguientes.</w:t>
      </w:r>
    </w:p>
    <w:p w:rsidR="009E41C1" w:rsidRDefault="009E41C1" w:rsidP="00B80E37">
      <w:pPr>
        <w:spacing w:line="276" w:lineRule="auto"/>
        <w:jc w:val="both"/>
        <w:rPr>
          <w:sz w:val="22"/>
          <w:szCs w:val="22"/>
        </w:rPr>
      </w:pPr>
    </w:p>
    <w:p w:rsidR="003614C7" w:rsidRDefault="003614C7" w:rsidP="00B80E37">
      <w:pPr>
        <w:spacing w:line="276" w:lineRule="auto"/>
        <w:jc w:val="both"/>
        <w:rPr>
          <w:sz w:val="22"/>
          <w:szCs w:val="22"/>
        </w:rPr>
      </w:pPr>
    </w:p>
    <w:p w:rsidR="003614C7" w:rsidRDefault="003614C7" w:rsidP="00B80E37">
      <w:pPr>
        <w:spacing w:line="276" w:lineRule="auto"/>
        <w:jc w:val="both"/>
        <w:rPr>
          <w:sz w:val="22"/>
          <w:szCs w:val="22"/>
        </w:rPr>
      </w:pPr>
    </w:p>
    <w:p w:rsidR="009E41C1" w:rsidRDefault="00B73C07" w:rsidP="00B80E3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Quillacollo</w:t>
      </w:r>
      <w:r w:rsidR="009E41C1">
        <w:rPr>
          <w:sz w:val="22"/>
          <w:szCs w:val="22"/>
        </w:rPr>
        <w:t xml:space="preserve">, </w:t>
      </w:r>
      <w:r w:rsidR="000076EE">
        <w:rPr>
          <w:sz w:val="22"/>
          <w:szCs w:val="22"/>
        </w:rPr>
        <w:t>27</w:t>
      </w:r>
      <w:r w:rsidR="003614C7">
        <w:rPr>
          <w:sz w:val="22"/>
          <w:szCs w:val="22"/>
        </w:rPr>
        <w:t xml:space="preserve"> de </w:t>
      </w:r>
      <w:r w:rsidR="000076EE">
        <w:rPr>
          <w:sz w:val="22"/>
          <w:szCs w:val="22"/>
        </w:rPr>
        <w:t>diciembre</w:t>
      </w:r>
      <w:r w:rsidR="003614C7">
        <w:rPr>
          <w:sz w:val="22"/>
          <w:szCs w:val="22"/>
        </w:rPr>
        <w:t xml:space="preserve"> de 202</w:t>
      </w:r>
      <w:r w:rsidR="0021629C">
        <w:rPr>
          <w:sz w:val="22"/>
          <w:szCs w:val="22"/>
        </w:rPr>
        <w:t>4</w:t>
      </w:r>
    </w:p>
    <w:p w:rsidR="00CF5946" w:rsidRDefault="00CF5946" w:rsidP="00B80E37">
      <w:pPr>
        <w:spacing w:line="276" w:lineRule="auto"/>
        <w:jc w:val="center"/>
        <w:rPr>
          <w:sz w:val="22"/>
          <w:szCs w:val="22"/>
        </w:rPr>
      </w:pPr>
    </w:p>
    <w:p w:rsidR="00CF5946" w:rsidRDefault="00CF5946" w:rsidP="00B80E37">
      <w:pPr>
        <w:spacing w:line="276" w:lineRule="auto"/>
        <w:jc w:val="center"/>
        <w:rPr>
          <w:sz w:val="22"/>
          <w:szCs w:val="22"/>
        </w:rPr>
      </w:pPr>
    </w:p>
    <w:p w:rsidR="00D85585" w:rsidRDefault="00D85585" w:rsidP="00B80E37">
      <w:pPr>
        <w:spacing w:line="276" w:lineRule="auto"/>
        <w:jc w:val="center"/>
        <w:rPr>
          <w:sz w:val="22"/>
          <w:szCs w:val="22"/>
        </w:rPr>
      </w:pPr>
    </w:p>
    <w:p w:rsidR="00CF5946" w:rsidRDefault="00CF5946" w:rsidP="00B80E37">
      <w:pPr>
        <w:spacing w:line="276" w:lineRule="auto"/>
        <w:jc w:val="center"/>
        <w:rPr>
          <w:sz w:val="22"/>
          <w:szCs w:val="22"/>
        </w:rPr>
      </w:pPr>
    </w:p>
    <w:p w:rsidR="00380050" w:rsidRDefault="00380050" w:rsidP="00B80E37">
      <w:pPr>
        <w:spacing w:line="276" w:lineRule="auto"/>
        <w:jc w:val="center"/>
        <w:rPr>
          <w:sz w:val="22"/>
          <w:szCs w:val="22"/>
        </w:rPr>
      </w:pPr>
    </w:p>
    <w:sectPr w:rsidR="00380050" w:rsidSect="006B6DD4">
      <w:headerReference w:type="default" r:id="rId9"/>
      <w:footerReference w:type="default" r:id="rId10"/>
      <w:pgSz w:w="12240" w:h="15840"/>
      <w:pgMar w:top="18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5B" w:rsidRDefault="00D2395B" w:rsidP="00DD662C">
      <w:r>
        <w:separator/>
      </w:r>
    </w:p>
  </w:endnote>
  <w:endnote w:type="continuationSeparator" w:id="0">
    <w:p w:rsidR="00D2395B" w:rsidRDefault="00D2395B" w:rsidP="00DD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049060"/>
      <w:docPartObj>
        <w:docPartGallery w:val="Page Numbers (Bottom of Page)"/>
        <w:docPartUnique/>
      </w:docPartObj>
    </w:sdtPr>
    <w:sdtEndPr/>
    <w:sdtContent>
      <w:p w:rsidR="00121628" w:rsidRDefault="001216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59">
          <w:rPr>
            <w:noProof/>
          </w:rPr>
          <w:t>2</w:t>
        </w:r>
        <w:r>
          <w:fldChar w:fldCharType="end"/>
        </w:r>
      </w:p>
    </w:sdtContent>
  </w:sdt>
  <w:p w:rsidR="00121628" w:rsidRDefault="001216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5B" w:rsidRDefault="00D2395B" w:rsidP="00DD662C">
      <w:r>
        <w:separator/>
      </w:r>
    </w:p>
  </w:footnote>
  <w:footnote w:type="continuationSeparator" w:id="0">
    <w:p w:rsidR="00D2395B" w:rsidRDefault="00D2395B" w:rsidP="00DD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D4" w:rsidRDefault="006B6DD4">
    <w:pPr>
      <w:pStyle w:val="Encabezado"/>
      <w:rPr>
        <w:rFonts w:ascii="Calibri" w:hAnsi="Calibri"/>
        <w:noProof/>
        <w:color w:val="000000"/>
        <w:sz w:val="22"/>
        <w:szCs w:val="22"/>
        <w:lang w:eastAsia="es-BO"/>
      </w:rPr>
    </w:pPr>
    <w:r>
      <w:rPr>
        <w:rFonts w:ascii="Calibri" w:hAnsi="Calibri"/>
        <w:noProof/>
        <w:color w:val="000000"/>
        <w:sz w:val="22"/>
        <w:szCs w:val="22"/>
        <w:lang w:eastAsia="es-BO"/>
      </w:rPr>
      <w:drawing>
        <wp:anchor distT="0" distB="0" distL="114300" distR="114300" simplePos="0" relativeHeight="251659264" behindDoc="0" locked="0" layoutInCell="1" allowOverlap="1" wp14:anchorId="792911A1" wp14:editId="379645AD">
          <wp:simplePos x="0" y="0"/>
          <wp:positionH relativeFrom="column">
            <wp:posOffset>34290</wp:posOffset>
          </wp:positionH>
          <wp:positionV relativeFrom="paragraph">
            <wp:posOffset>-165100</wp:posOffset>
          </wp:positionV>
          <wp:extent cx="800100" cy="695325"/>
          <wp:effectExtent l="0" t="0" r="0" b="9525"/>
          <wp:wrapNone/>
          <wp:docPr id="9" name="Imagen 9" descr="Archivo:Escudo de Quillacollo.jpg - Wikipedia, la enciclopedia li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Archivo:Escudo de Quillacollo.jp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  <w:sz w:val="22"/>
        <w:szCs w:val="22"/>
        <w:lang w:eastAsia="es-B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BBED0" wp14:editId="46D3F78C">
              <wp:simplePos x="0" y="0"/>
              <wp:positionH relativeFrom="column">
                <wp:posOffset>833689</wp:posOffset>
              </wp:positionH>
              <wp:positionV relativeFrom="paragraph">
                <wp:posOffset>-87811</wp:posOffset>
              </wp:positionV>
              <wp:extent cx="3581400" cy="485775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14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DD4" w:rsidRDefault="006B6DD4" w:rsidP="006B6DD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both"/>
                          </w:pPr>
                          <w:r>
                            <w:rPr>
                              <w:rFonts w:ascii="Rockwell" w:eastAsia="Calibri" w:hAnsi="Rockwell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  <w:lang w:val="es-ES_tradnl"/>
                            </w:rPr>
                            <w:t>GOBIERNO AUTÓNOMO MUNICIPAL DE QUILLACOLLO</w:t>
                          </w:r>
                        </w:p>
                        <w:p w:rsidR="006B6DD4" w:rsidRDefault="006B6DD4" w:rsidP="006B6DD4">
                          <w:pPr>
                            <w:pStyle w:val="NormalWeb"/>
                            <w:tabs>
                              <w:tab w:val="center" w:pos="4680"/>
                              <w:tab w:val="right" w:pos="9360"/>
                            </w:tabs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Rockwell" w:eastAsia="MS Mincho" w:hAnsi="Rockwell" w:cstheme="minorBid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  <w:lang w:val="es-ES_tradnl"/>
                            </w:rPr>
                            <w:t>“DIRECCION DE AUDITORIA INTERNA”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BBED0" id="Rectángulo 8" o:spid="_x0000_s1026" style="position:absolute;margin-left:65.65pt;margin-top:-6.9pt;width:28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" filled="f" stroked="f" strokeweight="2pt">
              <v:textbox>
                <w:txbxContent>
                  <w:p w:rsidR="006B6DD4" w:rsidRDefault="006B6DD4" w:rsidP="006B6DD4">
                    <w:pPr>
                      <w:pStyle w:val="NormalWeb"/>
                      <w:spacing w:before="0" w:beforeAutospacing="0" w:after="0" w:afterAutospacing="0" w:line="276" w:lineRule="auto"/>
                      <w:jc w:val="both"/>
                    </w:pPr>
                    <w:r>
                      <w:rPr>
                        <w:rFonts w:ascii="Rockwell" w:eastAsia="Calibri" w:hAnsi="Rockwell"/>
                        <w:b/>
                        <w:bCs/>
                        <w:color w:val="000000" w:themeColor="dark1"/>
                        <w:sz w:val="18"/>
                        <w:szCs w:val="18"/>
                        <w:lang w:val="es-ES_tradnl"/>
                      </w:rPr>
                      <w:t>GOBIERNO AUTÓNOMO MUNICIPAL DE QUILLACOLLO</w:t>
                    </w:r>
                  </w:p>
                  <w:p w:rsidR="006B6DD4" w:rsidRDefault="006B6DD4" w:rsidP="006B6DD4">
                    <w:pPr>
                      <w:pStyle w:val="NormalWeb"/>
                      <w:tabs>
                        <w:tab w:val="center" w:pos="4680"/>
                        <w:tab w:val="right" w:pos="9360"/>
                      </w:tabs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Rockwell" w:eastAsia="MS Mincho" w:hAnsi="Rockwell" w:cstheme="minorBidi"/>
                        <w:b/>
                        <w:bCs/>
                        <w:color w:val="000000" w:themeColor="dark1"/>
                        <w:sz w:val="18"/>
                        <w:szCs w:val="18"/>
                        <w:lang w:val="es-ES_tradnl"/>
                      </w:rPr>
                      <w:t>“DIRECCION DE AUDITORIA INTERNA”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/>
        <w:noProof/>
        <w:color w:val="000000"/>
        <w:sz w:val="22"/>
        <w:szCs w:val="22"/>
        <w:lang w:eastAsia="es-BO"/>
      </w:rPr>
      <w:t xml:space="preserve"> </w:t>
    </w:r>
  </w:p>
  <w:p w:rsidR="006B6DD4" w:rsidRDefault="006B6DD4">
    <w:pPr>
      <w:pStyle w:val="Encabezado"/>
    </w:pPr>
  </w:p>
  <w:p w:rsidR="006B6DD4" w:rsidRDefault="006B6DD4">
    <w:pPr>
      <w:pStyle w:val="Encabezado"/>
    </w:pPr>
    <w:r>
      <w:rPr>
        <w:noProof/>
        <w:lang w:eastAsia="es-B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CC825C" wp14:editId="5CB1EEB8">
              <wp:simplePos x="0" y="0"/>
              <wp:positionH relativeFrom="column">
                <wp:posOffset>-22860</wp:posOffset>
              </wp:positionH>
              <wp:positionV relativeFrom="paragraph">
                <wp:posOffset>188150</wp:posOffset>
              </wp:positionV>
              <wp:extent cx="5723906" cy="68719"/>
              <wp:effectExtent l="0" t="0" r="10160" b="26670"/>
              <wp:wrapNone/>
              <wp:docPr id="4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3906" cy="68719"/>
                        <a:chOff x="0" y="0"/>
                        <a:chExt cx="6692265" cy="89152"/>
                      </a:xfrm>
                    </wpg:grpSpPr>
                    <wps:wsp>
                      <wps:cNvPr id="5" name="AutoShape 1"/>
                      <wps:cNvSpPr>
                        <a:spLocks noChangeArrowheads="1"/>
                      </wps:cNvSpPr>
                      <wps:spPr bwMode="gray">
                        <a:xfrm flipV="1">
                          <a:off x="0" y="44067"/>
                          <a:ext cx="6692265" cy="4508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CCCCCC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6DD4" w:rsidRDefault="006B6DD4" w:rsidP="006B6DD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Tahoma" w:eastAsia="Calibri" w:hAnsi="Tahoma"/>
                                <w:color w:val="000000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CC825C" id="3 Grupo" o:spid="_x0000_s1027" style="position:absolute;margin-left:-1.8pt;margin-top:14.8pt;width:450.7pt;height:5.4pt;z-index:251663360;mso-width-relative:margin" coordsize="66922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" o:spid="_x0000_s1028" type="#_x0000_t109" style="position:absolute;top:440;width:66922;height:451;flip:y;visibility:visible;mso-wrap-style:squar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vQ8QA&#10;AADaAAAADwAAAGRycy9kb3ducmV2LnhtbESPQWvCQBSE70L/w/IKXkQ3VgySupFSKNSL0Gjp9ZF9&#10;zSbNvg3ZjUZ/fbdQ8DjMzDfMdjfaVpyp97VjBctFAoK4dLrmSsHp+DbfgPABWWPrmBRcycMuf5hs&#10;MdPuwh90LkIlIoR9hgpMCF0mpS8NWfQL1xFH79v1FkOUfSV1j5cIt618SpJUWqw5Lhjs6NVQ+VMM&#10;VkG759lNr1bFUDSD+/pMb4elaZSaPo4vzyACjeEe/m+/awVr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r0PEAAAA2gAAAA8AAAAAAAAAAAAAAAAAmAIAAGRycy9k&#10;b3ducmV2LnhtbFBLBQYAAAAABAAEAPUAAACJAwAAAAA=&#10;" fillcolor="black" strokeweight="1pt">
                <v:fill color2="#ccc" rotate="t" angle="90" focus="100%" type="gradient"/>
                <v:shadow color="#7f7f7f" opacity=".5" offset="6pt,-6pt"/>
                <v:textbox>
                  <w:txbxContent>
                    <w:p w:rsidR="006B6DD4" w:rsidRDefault="006B6DD4" w:rsidP="006B6DD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Tahoma" w:eastAsia="Calibri" w:hAnsi="Tahoma"/>
                          <w:color w:val="000000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width:665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6f8MAAADaAAAADwAAAGRycy9kb3ducmV2LnhtbESPQWvCQBSE7wX/w/IEb3WjtVGiq0ip&#10;Ym+tevH2yD6TYPZturvG5N93C4Ueh5n5hlltOlOLlpyvLCuYjBMQxLnVFRcKzqfd8wKED8gaa8uk&#10;oCcPm/XgaYWZtg/+ovYYChEh7DNUUIbQZFL6vCSDfmwb4uhdrTMYonSF1A4fEW5qOU2SVBqsOC6U&#10;2NBbSfnteDcK3j/u3fzlu99v5UHXs7Z//XTpRanRsNsuQQTqwn/4r33QClL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n/DAAAA2gAAAA8AAAAAAAAAAAAA&#10;AAAAoQIAAGRycy9kb3ducmV2LnhtbFBLBQYAAAAABAAEAPkAAACRAwAAAAA=&#10;" strokeweight="1.7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5057_"/>
      </v:shape>
    </w:pict>
  </w:numPicBullet>
  <w:abstractNum w:abstractNumId="0" w15:restartNumberingAfterBreak="0">
    <w:nsid w:val="0468264E"/>
    <w:multiLevelType w:val="hybridMultilevel"/>
    <w:tmpl w:val="5DE4723E"/>
    <w:lvl w:ilvl="0" w:tplc="2E8035C8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40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53E4417"/>
    <w:multiLevelType w:val="hybridMultilevel"/>
    <w:tmpl w:val="EC506F54"/>
    <w:lvl w:ilvl="0" w:tplc="8AC0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E32"/>
    <w:multiLevelType w:val="hybridMultilevel"/>
    <w:tmpl w:val="A4584A92"/>
    <w:lvl w:ilvl="0" w:tplc="4E2684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720"/>
    <w:multiLevelType w:val="hybridMultilevel"/>
    <w:tmpl w:val="315C155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2F64"/>
    <w:multiLevelType w:val="hybridMultilevel"/>
    <w:tmpl w:val="7FAA31C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A31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1640A"/>
    <w:multiLevelType w:val="multilevel"/>
    <w:tmpl w:val="F96AF5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A02C0A"/>
    <w:multiLevelType w:val="hybridMultilevel"/>
    <w:tmpl w:val="2B7EC61A"/>
    <w:lvl w:ilvl="0" w:tplc="6424578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91D12C4"/>
    <w:multiLevelType w:val="hybridMultilevel"/>
    <w:tmpl w:val="100274A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1AA1"/>
    <w:multiLevelType w:val="hybridMultilevel"/>
    <w:tmpl w:val="BC3613BE"/>
    <w:lvl w:ilvl="0" w:tplc="B9821F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3060"/>
    <w:multiLevelType w:val="hybridMultilevel"/>
    <w:tmpl w:val="3A44D2B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62A93"/>
    <w:multiLevelType w:val="hybridMultilevel"/>
    <w:tmpl w:val="3A44D2B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57E84"/>
    <w:multiLevelType w:val="multilevel"/>
    <w:tmpl w:val="D2689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050033"/>
    <w:multiLevelType w:val="hybridMultilevel"/>
    <w:tmpl w:val="9D7AD58C"/>
    <w:lvl w:ilvl="0" w:tplc="E1FE62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6D4A31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2C"/>
    <w:rsid w:val="000076EE"/>
    <w:rsid w:val="00035C93"/>
    <w:rsid w:val="000B73F9"/>
    <w:rsid w:val="000D53F7"/>
    <w:rsid w:val="00105C80"/>
    <w:rsid w:val="00121628"/>
    <w:rsid w:val="00127052"/>
    <w:rsid w:val="001464F0"/>
    <w:rsid w:val="001D60BA"/>
    <w:rsid w:val="001F2390"/>
    <w:rsid w:val="00203B6F"/>
    <w:rsid w:val="002077A4"/>
    <w:rsid w:val="0021629C"/>
    <w:rsid w:val="00235A98"/>
    <w:rsid w:val="002526C1"/>
    <w:rsid w:val="00264E06"/>
    <w:rsid w:val="002C5D84"/>
    <w:rsid w:val="00323819"/>
    <w:rsid w:val="0033686F"/>
    <w:rsid w:val="003614C7"/>
    <w:rsid w:val="00363D99"/>
    <w:rsid w:val="00380050"/>
    <w:rsid w:val="003D4C2B"/>
    <w:rsid w:val="00455E30"/>
    <w:rsid w:val="004B1AB8"/>
    <w:rsid w:val="00505477"/>
    <w:rsid w:val="00527DA0"/>
    <w:rsid w:val="005A3831"/>
    <w:rsid w:val="005B0CAE"/>
    <w:rsid w:val="0064169F"/>
    <w:rsid w:val="006719EE"/>
    <w:rsid w:val="006807FE"/>
    <w:rsid w:val="006B6DD4"/>
    <w:rsid w:val="006C3161"/>
    <w:rsid w:val="006D5121"/>
    <w:rsid w:val="006E295C"/>
    <w:rsid w:val="0075697A"/>
    <w:rsid w:val="007E4F99"/>
    <w:rsid w:val="00844678"/>
    <w:rsid w:val="0084720A"/>
    <w:rsid w:val="00894D2A"/>
    <w:rsid w:val="008B4BBF"/>
    <w:rsid w:val="009706D0"/>
    <w:rsid w:val="00974C1F"/>
    <w:rsid w:val="009E41C1"/>
    <w:rsid w:val="00A8082E"/>
    <w:rsid w:val="00A9141D"/>
    <w:rsid w:val="00A926AF"/>
    <w:rsid w:val="00AC0C82"/>
    <w:rsid w:val="00AE7AE3"/>
    <w:rsid w:val="00AF004C"/>
    <w:rsid w:val="00B27CCC"/>
    <w:rsid w:val="00B41CE6"/>
    <w:rsid w:val="00B73C07"/>
    <w:rsid w:val="00B80E37"/>
    <w:rsid w:val="00B96BE1"/>
    <w:rsid w:val="00BC4082"/>
    <w:rsid w:val="00C32733"/>
    <w:rsid w:val="00C4568F"/>
    <w:rsid w:val="00C74482"/>
    <w:rsid w:val="00C9044B"/>
    <w:rsid w:val="00CF1B8A"/>
    <w:rsid w:val="00CF5946"/>
    <w:rsid w:val="00D14259"/>
    <w:rsid w:val="00D2395B"/>
    <w:rsid w:val="00D62064"/>
    <w:rsid w:val="00D85585"/>
    <w:rsid w:val="00DD3C04"/>
    <w:rsid w:val="00DD662C"/>
    <w:rsid w:val="00E0064F"/>
    <w:rsid w:val="00E166C5"/>
    <w:rsid w:val="00E63279"/>
    <w:rsid w:val="00E77281"/>
    <w:rsid w:val="00E863E7"/>
    <w:rsid w:val="00ED40FE"/>
    <w:rsid w:val="00EE7762"/>
    <w:rsid w:val="00F42F7E"/>
    <w:rsid w:val="00F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F86AB12-8C4F-4916-9D4D-DE943B6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2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B27CCC"/>
    <w:pPr>
      <w:spacing w:before="100" w:beforeAutospacing="1" w:after="100" w:afterAutospacing="1"/>
      <w:outlineLvl w:val="2"/>
    </w:pPr>
    <w:rPr>
      <w:b/>
      <w:bCs/>
      <w:sz w:val="27"/>
      <w:szCs w:val="2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27CCC"/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styleId="Textoennegrita">
    <w:name w:val="Strong"/>
    <w:basedOn w:val="Fuentedeprrafopredeter"/>
    <w:uiPriority w:val="22"/>
    <w:qFormat/>
    <w:rsid w:val="00B27CCC"/>
    <w:rPr>
      <w:b/>
      <w:bCs/>
    </w:rPr>
  </w:style>
  <w:style w:type="paragraph" w:styleId="Encabezado">
    <w:name w:val="header"/>
    <w:basedOn w:val="Normal"/>
    <w:link w:val="EncabezadoCar"/>
    <w:uiPriority w:val="99"/>
    <w:rsid w:val="00DD662C"/>
    <w:pPr>
      <w:tabs>
        <w:tab w:val="center" w:pos="4419"/>
        <w:tab w:val="right" w:pos="8838"/>
      </w:tabs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D662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6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62C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DD662C"/>
    <w:pPr>
      <w:jc w:val="center"/>
    </w:pPr>
    <w:rPr>
      <w:b/>
      <w:lang w:val="es-MX"/>
    </w:rPr>
  </w:style>
  <w:style w:type="character" w:customStyle="1" w:styleId="PuestoCar">
    <w:name w:val="Puesto Car"/>
    <w:basedOn w:val="Fuentedeprrafopredeter"/>
    <w:link w:val="Puesto"/>
    <w:rsid w:val="00DD662C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DD662C"/>
    <w:pPr>
      <w:autoSpaceDE/>
      <w:autoSpaceDN/>
      <w:ind w:firstLine="20"/>
      <w:jc w:val="both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D66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itulo 5,MAPA,Viñeta,TITULO A,Cuadro 2-1,paul2,Iz - Párrafo de lista,Sivsa Parrafo,Titulo de Fígura,Fundamentacion,Lista vistosa - Énfasis 11,Párrafo de lista1,VIÑETAS,Párrafo,de,lista,TIT 2 IND,Capítulo,Bullets,Numbered List Paragraph"/>
    <w:basedOn w:val="Normal"/>
    <w:link w:val="PrrafodelistaCar"/>
    <w:uiPriority w:val="34"/>
    <w:qFormat/>
    <w:rsid w:val="00A9141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titulo 5 Car,MAPA Car,Viñeta Car,TITULO A Car,Cuadro 2-1 Car,paul2 Car,Iz - Párrafo de lista Car,Sivsa Parrafo Car,Titulo de Fígura Car,Fundamentacion Car,Lista vistosa - Énfasis 11 Car,Párrafo de lista1 Car,VIÑETAS Car,Párrafo Car"/>
    <w:link w:val="Prrafodelista"/>
    <w:uiPriority w:val="34"/>
    <w:qFormat/>
    <w:rsid w:val="00A9141D"/>
    <w:rPr>
      <w:lang w:val="es-ES"/>
    </w:rPr>
  </w:style>
  <w:style w:type="paragraph" w:styleId="Lista">
    <w:name w:val="List"/>
    <w:basedOn w:val="Normal"/>
    <w:rsid w:val="003D4C2B"/>
    <w:pPr>
      <w:autoSpaceDE/>
      <w:autoSpaceDN/>
      <w:ind w:left="360" w:hanging="360"/>
    </w:pPr>
    <w:rPr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E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E37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B4B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BBF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yle2">
    <w:name w:val="Style 2"/>
    <w:basedOn w:val="Normal"/>
    <w:uiPriority w:val="99"/>
    <w:rsid w:val="008B4BBF"/>
    <w:pPr>
      <w:widowControl w:val="0"/>
      <w:spacing w:before="180" w:line="288" w:lineRule="exact"/>
      <w:ind w:left="504"/>
    </w:pPr>
    <w:rPr>
      <w:rFonts w:eastAsiaTheme="minorEastAsia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61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14C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14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4C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B6DD4"/>
    <w:pPr>
      <w:autoSpaceDE/>
      <w:autoSpaceDN/>
      <w:spacing w:before="100" w:beforeAutospacing="1" w:after="100" w:afterAutospacing="1"/>
    </w:pPr>
    <w:rPr>
      <w:rFonts w:eastAsiaTheme="minorEastAsia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3967-89EF-48E5-9BC4-F224BC09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</dc:creator>
  <cp:lastModifiedBy>Auditoriapc1</cp:lastModifiedBy>
  <cp:revision>41</cp:revision>
  <cp:lastPrinted>2023-09-29T17:50:00Z</cp:lastPrinted>
  <dcterms:created xsi:type="dcterms:W3CDTF">2017-12-04T18:23:00Z</dcterms:created>
  <dcterms:modified xsi:type="dcterms:W3CDTF">2024-12-27T14:22:00Z</dcterms:modified>
</cp:coreProperties>
</file>